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4 vom 24. Juni 2020</w:t>
      </w:r>
    </w:p>
    <w:p>
      <w:r>
        <w:t>SZ Gerichte, 2020-06-24, DE</w:t>
      </w:r>
    </w:p>
    <w:p>
      <w:r>
        <w:rPr>
          <w:b/>
        </w:rPr>
        <w:t xml:space="preserve">Quelle: </w:t>
      </w:r>
      <w:r>
        <w:t>https://mcp.opencaselaw.ch/entscheid/sz_gerichte_ZK1 2019 4</w:t>
      </w:r>
    </w:p>
    <w:p>
      <w:r>
        <w:t>FR: SZ_GERICHTE ZK1 2019 4 du 24 juin 2020</w:t>
      </w:r>
    </w:p>
    <w:p>
      <w:r>
        <w:t>IT: SZ_GERICHTE ZK1 2019 4 del 24 giugno 2020</w:t>
      </w:r>
    </w:p>
    <w:p>
      <w:pPr>
        <w:pStyle w:val="Heading2"/>
      </w:pPr>
      <w:r>
        <w:t>Regeste</w:t>
      </w:r>
    </w:p>
    <w:p>
      <w:r>
        <w:t>Widerspruchsklage (Gewinnanteil der Miterben) | SchKG-Klagen; EVSchKG 13</w:t>
      </w:r>
    </w:p>
    <w:p>
      <w:pPr>
        <w:pStyle w:val="Heading2"/>
      </w:pPr>
      <w:r>
        <w:t>Erwägungen</w:t>
      </w:r>
    </w:p>
    <w:p>
      <w:r>
        <w:rPr>
          <w:b/>
        </w:rPr>
        <w:t>E. 1</w:t>
      </w:r>
    </w:p>
    <w:p>
      <w:r>
        <w:t>B.________,</w:t>
      </w:r>
    </w:p>
    <w:p>
      <w:r>
        <w:rPr>
          <w:b/>
        </w:rPr>
        <w:t>E. 2</w:t>
      </w:r>
    </w:p>
    <w:p>
      <w:r>
        <w:t>C.________,</w:t>
      </w:r>
    </w:p>
    <w:p>
      <w:r>
        <w:rPr>
          <w:b/>
        </w:rPr>
        <w:t>E. 3</w:t>
      </w:r>
    </w:p>
    <w:p>
      <w:r>
        <w:t>D.________,</w:t>
      </w:r>
    </w:p>
    <w:p>
      <w:r>
        <w:rPr>
          <w:b/>
        </w:rPr>
        <w:t>E. 4</w:t>
      </w:r>
    </w:p>
    <w:p>
      <w:r>
        <w:t>E.________,</w:t>
      </w:r>
    </w:p>
    <w:p>
      <w:r>
        <w:rPr>
          <w:b/>
        </w:rPr>
        <w:t>E. 5</w:t>
      </w:r>
    </w:p>
    <w:p>
      <w:r>
        <w:t>F.________,</w:t>
      </w:r>
    </w:p>
    <w:p>
      <w:r>
        <w:rPr>
          <w:b/>
        </w:rPr>
        <w:t>E. 6</w:t>
      </w:r>
    </w:p>
    <w:p>
      <w:r>
        <w:t>G.________,</w:t>
      </w:r>
    </w:p>
    <w:p>
      <w:r>
        <w:rPr>
          <w:b/>
        </w:rPr>
        <w:t>E. 7</w:t>
      </w:r>
    </w:p>
    <w:p>
      <w:r>
        <w:t>H.________ ,</w:t>
      </w:r>
    </w:p>
    <w:p>
      <w:r>
        <w:rPr>
          <w:b/>
        </w:rPr>
        <w:t>E. 8</w:t>
      </w:r>
    </w:p>
    <w:p>
      <w:r>
        <w:t>I._________,</w:t>
      </w:r>
    </w:p>
    <w:p>
      <w:r>
        <w:rPr>
          <w:b/>
        </w:rPr>
        <w:t>E. 9</w:t>
      </w:r>
    </w:p>
    <w:p>
      <w:r>
        <w:t>J.________, Beklagte und Berufungsgegner, alle vertreten durch Rechtsanwalt K.________, \n \n \n betreffend \n Widerspruchsklage (Gewinnanteil der Miterben) \n \n \n \n (Berufung gegen das Urteil des Einzelrichters am Bezirksgericht March vom 4. Dezember 2018, ZEO 2017 33);- \n \n hat der Kantonsgerichtspräsident, \n \n \n \n \n nachdem sich ergeben und in Erwägung: \n 1. a) A.________ sel. (nachfolgend: Kläger) war Eigentümer der Grundstücke GB Nr. xx, GB Nr. yy und GB Nr. zz in der Gemeinde Galgenen, Kanton Schwyz. Am 30. September 1989 erfolgte die definitive Pfändung der Grundstücke für eine Forderung von L.________ im Betrage von Fr. 168‘987.95 (angefochtenes Urteil, S. 4; Vi-act. B/17, S. 4; Vi-act. B/17, Beilage 1). Es folgten jahrlange Rechtsstreitigkeiten. In der Verteilungsliste vom 30. Oktober 2015 bezifferte das Betreibungsamt Galgenen den Gewinnanteil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